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A40" w:rsidRPr="00684A40" w:rsidRDefault="00684A40" w:rsidP="00684A40">
      <w:pPr>
        <w:jc w:val="center"/>
        <w:rPr>
          <w:b/>
          <w:sz w:val="28"/>
          <w:szCs w:val="28"/>
        </w:rPr>
      </w:pPr>
      <w:r w:rsidRPr="00684A40">
        <w:rPr>
          <w:b/>
          <w:sz w:val="28"/>
          <w:szCs w:val="28"/>
        </w:rPr>
        <w:t>NEH SUMMER SEMINARS AND INSTITUTES</w:t>
      </w:r>
    </w:p>
    <w:p w:rsidR="00684A40" w:rsidRPr="00684A40" w:rsidRDefault="00684A40" w:rsidP="00684A40">
      <w:pPr>
        <w:jc w:val="center"/>
        <w:rPr>
          <w:b/>
          <w:sz w:val="28"/>
          <w:szCs w:val="28"/>
        </w:rPr>
      </w:pPr>
      <w:r w:rsidRPr="00684A40">
        <w:rPr>
          <w:b/>
          <w:sz w:val="28"/>
          <w:szCs w:val="28"/>
        </w:rPr>
        <w:t>FOR COLLEGE AND UNIVERSITY TEACHERS</w:t>
      </w:r>
    </w:p>
    <w:p w:rsidR="00684A40" w:rsidRPr="00684A40" w:rsidRDefault="00684A40" w:rsidP="00684A40">
      <w:r w:rsidRPr="00684A40">
        <w:fldChar w:fldCharType="begin"/>
      </w:r>
      <w:r w:rsidRPr="00684A40">
        <w:instrText xml:space="preserve">PRIVATE </w:instrText>
      </w:r>
      <w:r w:rsidRPr="00684A40">
        <w:fldChar w:fldCharType="end"/>
      </w:r>
    </w:p>
    <w:p w:rsidR="00684A40" w:rsidRPr="00684A40" w:rsidRDefault="00684A40" w:rsidP="00684A40">
      <w:pPr>
        <w:jc w:val="center"/>
        <w:rPr>
          <w:b/>
          <w:sz w:val="28"/>
          <w:szCs w:val="28"/>
          <w:u w:val="single"/>
        </w:rPr>
      </w:pPr>
      <w:r w:rsidRPr="00684A40">
        <w:rPr>
          <w:b/>
          <w:sz w:val="28"/>
          <w:szCs w:val="28"/>
          <w:u w:val="single"/>
        </w:rPr>
        <w:t>APPLICATION INFORMATION AND INSTRUCTIONS</w:t>
      </w:r>
    </w:p>
    <w:p w:rsidR="00684A40" w:rsidRPr="00684A40" w:rsidRDefault="00684A40" w:rsidP="00684A40"/>
    <w:p w:rsidR="00684A40" w:rsidRPr="00684A40" w:rsidRDefault="00684A40" w:rsidP="00684A40"/>
    <w:p w:rsidR="00684A40" w:rsidRPr="00684A40" w:rsidRDefault="00684A40" w:rsidP="00684A40">
      <w:r w:rsidRPr="00684A40">
        <w:t xml:space="preserve">Summer Seminars and Institutes for College and University Teachers are offered by the National Endowment for the Humanities to provide college and university faculty members and independent scholars with an opportunity to enrich and revitalize their understanding of significant humanities ideas, texts, and topics.  These study opportunities are especially designed for this program and are not intended to duplicate courses normally offered by graduate programs.  On completion of a seminar or institute, participants will receive a certificate indicating their participation.  Prior to completing an application to as specific seminar or institute, please review the </w:t>
      </w:r>
      <w:r w:rsidR="00662730">
        <w:t>letter</w:t>
      </w:r>
      <w:r w:rsidRPr="00684A40">
        <w:t>/prospectus from the project director (available on the project’s website, or as an e-mail attachment) and consider carefully what is expected in terms of residence and attendance, reading and writing requirements, and general participation in the work of the project.</w:t>
      </w:r>
    </w:p>
    <w:p w:rsidR="00684A40" w:rsidRPr="00684A40" w:rsidRDefault="00684A40" w:rsidP="00684A40"/>
    <w:p w:rsidR="00684A40" w:rsidRPr="00684A40" w:rsidRDefault="00684A40" w:rsidP="00684A40">
      <w:r w:rsidRPr="00684A40">
        <w:t xml:space="preserve">Each </w:t>
      </w:r>
      <w:r w:rsidRPr="00684A40">
        <w:rPr>
          <w:b/>
        </w:rPr>
        <w:t>seminar</w:t>
      </w:r>
      <w:r w:rsidRPr="00684A40">
        <w:t xml:space="preserve"> includes 16 NEH Summer Scholars working in collaboration with one or two leading scholars.  Participants will have access to a significant research collection, with time reserved to pursue individual research and study projects.  </w:t>
      </w:r>
    </w:p>
    <w:p w:rsidR="00684A40" w:rsidRPr="00684A40" w:rsidRDefault="00684A40" w:rsidP="00684A40"/>
    <w:p w:rsidR="00684A40" w:rsidRPr="00684A40" w:rsidRDefault="00684A40" w:rsidP="00684A40">
      <w:r w:rsidRPr="00684A40">
        <w:rPr>
          <w:b/>
        </w:rPr>
        <w:t xml:space="preserve">Institutes </w:t>
      </w:r>
      <w:r w:rsidRPr="00684A40">
        <w:t>are for 25 Summer Scholars, and</w:t>
      </w:r>
      <w:r w:rsidRPr="00684A40">
        <w:rPr>
          <w:b/>
        </w:rPr>
        <w:t xml:space="preserve"> </w:t>
      </w:r>
      <w:r w:rsidRPr="00684A40">
        <w:t xml:space="preserve">provide intensive collaborative study of texts, topics, and ideas central to undergraduate teaching in the humanities under the guidance of faculties distinguished in their fields of scholarship.  Institutes aim to prepare participants to return to their classrooms with a deeper knowledge of current scholarship in key fields of the humanities. </w:t>
      </w:r>
    </w:p>
    <w:p w:rsidR="00684A40" w:rsidRPr="00684A40" w:rsidRDefault="00684A40" w:rsidP="00684A40"/>
    <w:p w:rsidR="00684A40" w:rsidRPr="00684A40" w:rsidRDefault="00684A40" w:rsidP="00684A40">
      <w:r w:rsidRPr="00684A40">
        <w:rPr>
          <w:b/>
        </w:rPr>
        <w:t>Please note:</w:t>
      </w:r>
      <w:r w:rsidRPr="00684A40">
        <w:t xml:space="preserve"> The use of the words “seminar” or “institute” in this document is precise and is intended to convey differences between the two project types.</w:t>
      </w:r>
    </w:p>
    <w:p w:rsidR="00684A40" w:rsidRPr="00684A40" w:rsidRDefault="00684A40" w:rsidP="00684A40">
      <w:pPr>
        <w:rPr>
          <w:b/>
        </w:rPr>
      </w:pPr>
    </w:p>
    <w:p w:rsidR="00684A40" w:rsidRPr="00684A40" w:rsidRDefault="00684A40" w:rsidP="00684A40">
      <w:pPr>
        <w:rPr>
          <w:b/>
        </w:rPr>
      </w:pPr>
    </w:p>
    <w:p w:rsidR="00684A40" w:rsidRPr="00684A40" w:rsidRDefault="00684A40" w:rsidP="00684A40">
      <w:r w:rsidRPr="00684A40">
        <w:rPr>
          <w:b/>
        </w:rPr>
        <w:t>ELIGIBILITY</w:t>
      </w:r>
    </w:p>
    <w:p w:rsidR="00684A40" w:rsidRPr="00684A40" w:rsidRDefault="00684A40" w:rsidP="00684A40"/>
    <w:p w:rsidR="00684A40" w:rsidRPr="00684A40" w:rsidRDefault="00684A40" w:rsidP="00684A40">
      <w:r w:rsidRPr="00684A40">
        <w:t xml:space="preserve">These projects are designed primarily for teachers of American undergraduate students.  Qualified independent scholars and those employed by museums, libraries, historical societies, and other organizations may be eligible to compete provided they can effectively advance the teaching and research goals of the seminar or institute.  Applicants must be </w:t>
      </w:r>
      <w:smartTag w:uri="urn:schemas-microsoft-com:office:smarttags" w:element="country-region">
        <w:r w:rsidRPr="00684A40">
          <w:t>United States</w:t>
        </w:r>
      </w:smartTag>
      <w:r w:rsidRPr="00684A40">
        <w:t xml:space="preserve"> citizens, residents of </w:t>
      </w:r>
      <w:smartTag w:uri="urn:schemas-microsoft-com:office:smarttags" w:element="country-region">
        <w:r w:rsidRPr="00684A40">
          <w:t>U.S.</w:t>
        </w:r>
      </w:smartTag>
      <w:r w:rsidRPr="00684A40">
        <w:t xml:space="preserve"> jurisdictions, or foreign nationals who have been residing in the </w:t>
      </w:r>
      <w:smartTag w:uri="urn:schemas-microsoft-com:office:smarttags" w:element="place">
        <w:smartTag w:uri="urn:schemas-microsoft-com:office:smarttags" w:element="country-region">
          <w:r w:rsidRPr="00684A40">
            <w:t>United States</w:t>
          </w:r>
        </w:smartTag>
      </w:smartTag>
      <w:r w:rsidRPr="00684A40">
        <w:t xml:space="preserve"> or its territories for at least the three years immediately preceding the application deadline. Foreign nationals teaching abroad at non-U.S. chartered institutions are not eligible to apply.   </w:t>
      </w:r>
    </w:p>
    <w:p w:rsidR="00684A40" w:rsidRPr="00684A40" w:rsidRDefault="00684A40" w:rsidP="00684A40"/>
    <w:p w:rsidR="00684A40" w:rsidRPr="00684A40" w:rsidRDefault="00684A40" w:rsidP="00684A40">
      <w:r w:rsidRPr="00684A40">
        <w:rPr>
          <w:b/>
        </w:rPr>
        <w:t>Please note</w:t>
      </w:r>
      <w:r w:rsidRPr="00684A40">
        <w:t>: Up to two seminar spaces and three institute spaces are reserved for current full-time graduate students in the humanities.</w:t>
      </w:r>
    </w:p>
    <w:p w:rsidR="00684A40" w:rsidRPr="00684A40" w:rsidRDefault="00684A40" w:rsidP="00684A40"/>
    <w:p w:rsidR="00684A40" w:rsidRPr="00684A40" w:rsidRDefault="00684A40" w:rsidP="00684A40">
      <w:r w:rsidRPr="00684A40">
        <w:lastRenderedPageBreak/>
        <w:t xml:space="preserve">Applicants must complete the NEH application </w:t>
      </w:r>
      <w:hyperlink r:id="rId8" w:history="1">
        <w:r w:rsidRPr="00684A40">
          <w:rPr>
            <w:rStyle w:val="Hyperlink"/>
          </w:rPr>
          <w:t>cover sheet</w:t>
        </w:r>
      </w:hyperlink>
      <w:r w:rsidRPr="00684A40">
        <w:t xml:space="preserve"> and provide all the information requested below to be considered eligible.  An applicant need not have an advanced degree in order to qualify. Adjunct and part-time lecturers are eligible to apply.  Individuals may not apply to study with a director of an NEH Summer Seminar or Institute who is a current colleague or a family member.  Individuals must not apply to seminars directed by scholars with whom they have studied.  Institute selection committees are advised that only under the most compelling and exceptional circumstances may an individual participate in an institute with a director or a lead faculty member who has guided that individual’s research or in whose previous institute or seminar he or she has participated.  </w:t>
      </w:r>
    </w:p>
    <w:p w:rsidR="00684A40" w:rsidRPr="00684A40" w:rsidRDefault="00684A40" w:rsidP="00684A40"/>
    <w:p w:rsidR="00684A40" w:rsidRPr="00684A40" w:rsidRDefault="00684A40" w:rsidP="00684A40">
      <w:r w:rsidRPr="00684A40">
        <w:rPr>
          <w:b/>
        </w:rPr>
        <w:t>Please note:</w:t>
      </w:r>
      <w:r w:rsidRPr="00684A40">
        <w:t xml:space="preserve"> An individual may apply to </w:t>
      </w:r>
      <w:r w:rsidRPr="00684A40">
        <w:rPr>
          <w:b/>
        </w:rPr>
        <w:t>up to two</w:t>
      </w:r>
      <w:r w:rsidRPr="00684A40">
        <w:t xml:space="preserve"> projects in any one year (NEH Summer Seminars, </w:t>
      </w:r>
      <w:r w:rsidR="00E150AF">
        <w:t xml:space="preserve">or NEH Summer </w:t>
      </w:r>
      <w:r w:rsidRPr="00684A40">
        <w:t xml:space="preserve">Institutes), but may participate in </w:t>
      </w:r>
      <w:r w:rsidRPr="00684A40">
        <w:rPr>
          <w:b/>
        </w:rPr>
        <w:t>only one</w:t>
      </w:r>
      <w:r w:rsidRPr="00684A40">
        <w:t xml:space="preserve">.  </w:t>
      </w:r>
    </w:p>
    <w:p w:rsidR="00684A40" w:rsidRPr="00684A40" w:rsidRDefault="00684A40" w:rsidP="00684A40"/>
    <w:p w:rsidR="00684A40" w:rsidRPr="00684A40" w:rsidRDefault="00684A40" w:rsidP="00684A40"/>
    <w:p w:rsidR="00684A40" w:rsidRPr="00684A40" w:rsidRDefault="00684A40" w:rsidP="00684A40">
      <w:pPr>
        <w:rPr>
          <w:b/>
        </w:rPr>
      </w:pPr>
      <w:r w:rsidRPr="00684A40">
        <w:rPr>
          <w:b/>
        </w:rPr>
        <w:t>SELECTION CRITERIA</w:t>
      </w:r>
    </w:p>
    <w:p w:rsidR="00684A40" w:rsidRPr="00684A40" w:rsidRDefault="00684A40" w:rsidP="00684A40"/>
    <w:p w:rsidR="00684A40" w:rsidRPr="00684A40" w:rsidRDefault="00684A40" w:rsidP="00684A40">
      <w:r w:rsidRPr="00684A40">
        <w:t>A selection committee reads and evaluates all properly completed applications in order to select the most promising applicants and to identify a number of alternates.  (Seminar selection committees typically consist of the project director and two colleagues.  Institute selection committees typically consist of three to five members, usually drawn from the institute faculty and staff members.)   While recent participants are eligible to apply, selection committees are charged to give first consideration to applicants who have not participated in an NEH-supported Seminar, Institute or Landmarks Worksh</w:t>
      </w:r>
      <w:r w:rsidR="0057440B">
        <w:t xml:space="preserve">op in the last three years (2010, 2011, </w:t>
      </w:r>
      <w:proofErr w:type="gramStart"/>
      <w:r w:rsidR="0057440B">
        <w:t>2012</w:t>
      </w:r>
      <w:proofErr w:type="gramEnd"/>
      <w:r w:rsidRPr="00684A40">
        <w:t xml:space="preserve">).  </w:t>
      </w:r>
    </w:p>
    <w:p w:rsidR="00684A40" w:rsidRPr="00684A40" w:rsidRDefault="00684A40" w:rsidP="00684A40"/>
    <w:p w:rsidR="00684A40" w:rsidRPr="00684A40" w:rsidRDefault="00684A40" w:rsidP="00684A40">
      <w:r w:rsidRPr="00684A40">
        <w:t>The most important consideration in the selection of participants is the likelihood that an applicant will benefit professionally.  This is determined by committee members from the conjunction of several factors, each of which should be addressed in the application essay.  These factors include:</w:t>
      </w:r>
    </w:p>
    <w:p w:rsidR="00684A40" w:rsidRPr="00684A40" w:rsidRDefault="00684A40" w:rsidP="00684A40"/>
    <w:p w:rsidR="00684A40" w:rsidRPr="00684A40" w:rsidRDefault="00684A40" w:rsidP="00684A40">
      <w:r w:rsidRPr="00684A40">
        <w:t xml:space="preserve">  1.  </w:t>
      </w:r>
      <w:proofErr w:type="gramStart"/>
      <w:r w:rsidRPr="00684A40">
        <w:t>quality</w:t>
      </w:r>
      <w:proofErr w:type="gramEnd"/>
      <w:r w:rsidRPr="00684A40">
        <w:t xml:space="preserve"> and commitment as a teacher, scholar, and interpreter of the humanities; </w:t>
      </w:r>
    </w:p>
    <w:p w:rsidR="00684A40" w:rsidRPr="00684A40" w:rsidRDefault="00684A40" w:rsidP="00684A40">
      <w:r w:rsidRPr="00684A40">
        <w:t xml:space="preserve">  2.  </w:t>
      </w:r>
      <w:proofErr w:type="gramStart"/>
      <w:r w:rsidRPr="00684A40">
        <w:t>intellectual</w:t>
      </w:r>
      <w:proofErr w:type="gramEnd"/>
      <w:r w:rsidRPr="00684A40">
        <w:t xml:space="preserve"> interests, in general and as they relate to the work of the seminar or institute;</w:t>
      </w:r>
    </w:p>
    <w:p w:rsidR="00684A40" w:rsidRPr="00684A40" w:rsidRDefault="00684A40" w:rsidP="00684A40">
      <w:r w:rsidRPr="00684A40">
        <w:t xml:space="preserve">  3.  </w:t>
      </w:r>
      <w:proofErr w:type="gramStart"/>
      <w:r w:rsidRPr="00684A40">
        <w:t>special</w:t>
      </w:r>
      <w:proofErr w:type="gramEnd"/>
      <w:r w:rsidRPr="00684A40">
        <w:t xml:space="preserve"> perspectives, skills, or experiences that would contribute to the seminar or institute;</w:t>
      </w:r>
    </w:p>
    <w:p w:rsidR="00684A40" w:rsidRDefault="00684A40" w:rsidP="00684A40">
      <w:r w:rsidRPr="00684A40">
        <w:t xml:space="preserve">  4.  </w:t>
      </w:r>
      <w:proofErr w:type="gramStart"/>
      <w:r w:rsidRPr="00684A40">
        <w:t>commitment</w:t>
      </w:r>
      <w:proofErr w:type="gramEnd"/>
      <w:r w:rsidRPr="00684A40">
        <w:t xml:space="preserve"> to participate fully in the formal and informal collegial life of the seminar or</w:t>
      </w:r>
    </w:p>
    <w:p w:rsidR="00684A40" w:rsidRPr="00684A40" w:rsidRDefault="00684A40" w:rsidP="00684A40">
      <w:r>
        <w:t xml:space="preserve">       </w:t>
      </w:r>
      <w:r w:rsidRPr="00684A40">
        <w:t xml:space="preserve"> </w:t>
      </w:r>
      <w:proofErr w:type="gramStart"/>
      <w:r w:rsidRPr="00684A40">
        <w:t>institute</w:t>
      </w:r>
      <w:proofErr w:type="gramEnd"/>
      <w:r w:rsidRPr="00684A40">
        <w:t xml:space="preserve">;            </w:t>
      </w:r>
      <w:r>
        <w:t xml:space="preserve">                 </w:t>
      </w:r>
    </w:p>
    <w:p w:rsidR="00684A40" w:rsidRPr="00684A40" w:rsidRDefault="00684A40" w:rsidP="00684A40">
      <w:r w:rsidRPr="00684A40">
        <w:t xml:space="preserve">  5.  </w:t>
      </w:r>
      <w:proofErr w:type="gramStart"/>
      <w:r w:rsidRPr="00684A40">
        <w:t>the</w:t>
      </w:r>
      <w:proofErr w:type="gramEnd"/>
      <w:r w:rsidRPr="00684A40">
        <w:t xml:space="preserve"> likelihood that the experience will enhance the applicant's teaching and scholarship; and</w:t>
      </w:r>
    </w:p>
    <w:p w:rsidR="00684A40" w:rsidRPr="00684A40" w:rsidRDefault="00684A40" w:rsidP="00684A40">
      <w:r w:rsidRPr="00684A40">
        <w:t xml:space="preserve">  6.  </w:t>
      </w:r>
      <w:proofErr w:type="gramStart"/>
      <w:r w:rsidRPr="00684A40">
        <w:t>for</w:t>
      </w:r>
      <w:proofErr w:type="gramEnd"/>
      <w:r w:rsidRPr="00684A40">
        <w:t xml:space="preserve"> seminars, the conception and organization of the applicant's independent project and its</w:t>
      </w:r>
    </w:p>
    <w:p w:rsidR="00684A40" w:rsidRPr="00684A40" w:rsidRDefault="00684A40" w:rsidP="00684A40">
      <w:r w:rsidRPr="00684A40">
        <w:t xml:space="preserve">       </w:t>
      </w:r>
      <w:proofErr w:type="gramStart"/>
      <w:r w:rsidRPr="00684A40">
        <w:t>potential</w:t>
      </w:r>
      <w:proofErr w:type="gramEnd"/>
      <w:r w:rsidRPr="00684A40">
        <w:t xml:space="preserve"> contribution to the seminar.</w:t>
      </w:r>
    </w:p>
    <w:p w:rsidR="00684A40" w:rsidRPr="00684A40" w:rsidRDefault="00684A40" w:rsidP="00684A40"/>
    <w:p w:rsidR="00684A40" w:rsidRPr="00684A40" w:rsidRDefault="00684A40" w:rsidP="00684A40">
      <w:pPr>
        <w:rPr>
          <w:b/>
        </w:rPr>
      </w:pPr>
      <w:r w:rsidRPr="00684A40">
        <w:t xml:space="preserve">When choices must be made among equally qualified candidates, several additional factors are considered.  </w:t>
      </w:r>
      <w:r w:rsidRPr="00684A40">
        <w:rPr>
          <w:b/>
        </w:rPr>
        <w:t>Preference is given to applicants who have not previously participated in an NEH Summer Seminar, Institute, or Landmarks Workshop, or who significantly contribute to the diversity of the seminar or institute.</w:t>
      </w:r>
    </w:p>
    <w:p w:rsidR="00684A40" w:rsidRPr="00684A40" w:rsidRDefault="00684A40" w:rsidP="00684A40"/>
    <w:p w:rsidR="00684A40" w:rsidRPr="00684A40" w:rsidRDefault="00684A40" w:rsidP="00684A40">
      <w:pPr>
        <w:rPr>
          <w:b/>
        </w:rPr>
      </w:pPr>
    </w:p>
    <w:p w:rsidR="00684A40" w:rsidRPr="00684A40" w:rsidRDefault="00684A40" w:rsidP="00684A40">
      <w:r w:rsidRPr="00684A40">
        <w:rPr>
          <w:b/>
        </w:rPr>
        <w:t>STIPEND, TENURE, AND CONDITIONS OF AWARD</w:t>
      </w:r>
    </w:p>
    <w:p w:rsidR="00684A40" w:rsidRDefault="00684A40" w:rsidP="00684A40">
      <w:pPr>
        <w:rPr>
          <w:b/>
        </w:rPr>
      </w:pPr>
    </w:p>
    <w:p w:rsidR="00684A40" w:rsidRPr="001E34CE" w:rsidRDefault="00AE28EF" w:rsidP="00684A40">
      <w:pPr>
        <w:rPr>
          <w:b/>
        </w:rPr>
      </w:pPr>
      <w:r>
        <w:t>Individuals</w:t>
      </w:r>
      <w:r w:rsidR="00684A40" w:rsidRPr="001E34CE">
        <w:t xml:space="preserve"> selected t</w:t>
      </w:r>
      <w:r w:rsidR="00684A40">
        <w:t>o participate</w:t>
      </w:r>
      <w:r w:rsidR="00684A40" w:rsidRPr="001E34CE">
        <w:t xml:space="preserve"> in five-week projects will receive stipend of $3,900; those in four-week projects will receive $3,300; those in three-week projects will receive $2,700; and those in two-week projects will receive $2,100.  Stipends are intended to help cover travel expenses to and from the project location, books and other research expenses, and living expenses for the duration of the period spent in residence.  Stipends are taxable.  </w:t>
      </w:r>
      <w:r w:rsidR="00684A40" w:rsidRPr="001E34CE">
        <w:rPr>
          <w:b/>
        </w:rPr>
        <w:t xml:space="preserve">Applicants to all projects, especially those held abroad, should note that supplements will not be given in cases where the stipend is insufficient to cover all expenses.  </w:t>
      </w:r>
    </w:p>
    <w:p w:rsidR="00684A40" w:rsidRPr="00684A40" w:rsidRDefault="00684A40" w:rsidP="00684A40"/>
    <w:p w:rsidR="00684A40" w:rsidRPr="00684A40" w:rsidRDefault="00684A40" w:rsidP="00684A40">
      <w:r w:rsidRPr="00684A40">
        <w:lastRenderedPageBreak/>
        <w:t>Seminar and institute participants are required to attend all meetings and to engage fully as professionals in the work of the project.  During the project's tenure, they may not undertake teaching assignments or any other professional activities unrelated to their participation in the project.  Participants who, for any reason, do not complete the full tenure of the project must refund a pro-rata portion of the stipend.</w:t>
      </w:r>
    </w:p>
    <w:p w:rsidR="00684A40" w:rsidRPr="00684A40" w:rsidRDefault="00684A40" w:rsidP="00684A40"/>
    <w:p w:rsidR="00684A40" w:rsidRPr="00684A40" w:rsidRDefault="00684A40" w:rsidP="00684A40">
      <w:r w:rsidRPr="00684A40">
        <w:t>At the end of the project's residential period, participants will be asked to submit online evaluations in which they review their work during the summer and assess its value to their personal and professional development.  These evaluations will become part of the project's grant file and may become part of an application to repeat the seminar or institute.</w:t>
      </w:r>
    </w:p>
    <w:p w:rsidR="00684A40" w:rsidRPr="00684A40" w:rsidRDefault="00684A40" w:rsidP="00684A40"/>
    <w:p w:rsidR="00684A40" w:rsidRPr="00684A40" w:rsidRDefault="00684A40" w:rsidP="00684A40"/>
    <w:p w:rsidR="00684A40" w:rsidRPr="00684A40" w:rsidRDefault="00684A40" w:rsidP="00684A40">
      <w:pPr>
        <w:rPr>
          <w:b/>
        </w:rPr>
      </w:pPr>
      <w:r w:rsidRPr="00684A40">
        <w:rPr>
          <w:b/>
        </w:rPr>
        <w:t>APPLICATION INSTRUCTIONS</w:t>
      </w:r>
    </w:p>
    <w:p w:rsidR="00684A40" w:rsidRPr="00684A40" w:rsidRDefault="00684A40" w:rsidP="00684A40"/>
    <w:p w:rsidR="00684A40" w:rsidRPr="00684A40" w:rsidRDefault="00684A40" w:rsidP="00684A40">
      <w:pPr>
        <w:rPr>
          <w:b/>
          <w:bCs/>
        </w:rPr>
      </w:pPr>
      <w:r w:rsidRPr="00684A40">
        <w:t xml:space="preserve">Before you attempt to complete an application, please obtain and read the “Dear Colleague </w:t>
      </w:r>
      <w:r w:rsidR="00E150AF">
        <w:t>L</w:t>
      </w:r>
      <w:r w:rsidR="00EE2290">
        <w:t>etter</w:t>
      </w:r>
      <w:r w:rsidR="00E150AF">
        <w:t>”</w:t>
      </w:r>
      <w:r w:rsidR="00763DCD">
        <w:t xml:space="preserve"> </w:t>
      </w:r>
      <w:bookmarkStart w:id="0" w:name="_GoBack"/>
      <w:bookmarkEnd w:id="0"/>
      <w:r w:rsidRPr="00684A40">
        <w:t xml:space="preserve">from the director(s) of the project(s) to which you intend to apply: the </w:t>
      </w:r>
      <w:r w:rsidR="00662730">
        <w:t>letter</w:t>
      </w:r>
      <w:r w:rsidRPr="00684A40">
        <w:t xml:space="preserve"> contains detailed information about the topic under study, project requirements and expectations of the participants, the academic and institutional setting, and specific provisions for lodging and subsistence.  In </w:t>
      </w:r>
      <w:r w:rsidR="00E150AF">
        <w:t>most cases, the “Dear Colleague L</w:t>
      </w:r>
      <w:r w:rsidR="00662730">
        <w:t>etter</w:t>
      </w:r>
      <w:r w:rsidR="00E150AF">
        <w:t>”</w:t>
      </w:r>
      <w:r w:rsidR="00AE28EF">
        <w:t xml:space="preserve"> </w:t>
      </w:r>
      <w:r w:rsidRPr="00684A40">
        <w:t xml:space="preserve">can be found on the project’s website.  </w:t>
      </w:r>
      <w:r w:rsidRPr="00684A40">
        <w:rPr>
          <w:b/>
          <w:bCs/>
        </w:rPr>
        <w:t>All application materials must be sent to the project director at the addres</w:t>
      </w:r>
      <w:r w:rsidR="00E150AF">
        <w:rPr>
          <w:b/>
          <w:bCs/>
        </w:rPr>
        <w:t>s listed in the “Dear Colleague</w:t>
      </w:r>
      <w:r w:rsidR="00AE28EF">
        <w:rPr>
          <w:b/>
          <w:bCs/>
        </w:rPr>
        <w:t xml:space="preserve"> </w:t>
      </w:r>
      <w:r w:rsidR="00E150AF">
        <w:rPr>
          <w:b/>
          <w:bCs/>
        </w:rPr>
        <w:t>L</w:t>
      </w:r>
      <w:r w:rsidR="00662730">
        <w:rPr>
          <w:b/>
          <w:bCs/>
        </w:rPr>
        <w:t>etter</w:t>
      </w:r>
      <w:r w:rsidR="00AE28EF">
        <w:rPr>
          <w:b/>
          <w:bCs/>
        </w:rPr>
        <w:t>.</w:t>
      </w:r>
      <w:r w:rsidR="00E150AF">
        <w:rPr>
          <w:b/>
          <w:bCs/>
        </w:rPr>
        <w:t>”</w:t>
      </w:r>
      <w:r w:rsidR="00AE28EF">
        <w:rPr>
          <w:b/>
          <w:bCs/>
        </w:rPr>
        <w:t xml:space="preserve">  </w:t>
      </w:r>
      <w:r w:rsidRPr="00684A40">
        <w:rPr>
          <w:b/>
          <w:bCs/>
        </w:rPr>
        <w:t>Application materials sent to the Endowment will not be reviewed.</w:t>
      </w:r>
    </w:p>
    <w:p w:rsidR="00684A40" w:rsidRPr="00684A40" w:rsidRDefault="00684A40" w:rsidP="00684A40"/>
    <w:p w:rsidR="00684A40" w:rsidRPr="00684A40" w:rsidRDefault="00684A40" w:rsidP="00684A40">
      <w:pPr>
        <w:rPr>
          <w:b/>
        </w:rPr>
      </w:pPr>
    </w:p>
    <w:p w:rsidR="00684A40" w:rsidRPr="00684A40" w:rsidRDefault="00684A40" w:rsidP="00684A40">
      <w:r w:rsidRPr="00684A40">
        <w:rPr>
          <w:b/>
        </w:rPr>
        <w:t>CHECKLIST OF APPLICATION MATERIALS</w:t>
      </w:r>
    </w:p>
    <w:p w:rsidR="00684A40" w:rsidRPr="00684A40" w:rsidRDefault="00684A40" w:rsidP="00684A40"/>
    <w:p w:rsidR="00684A40" w:rsidRPr="00684A40" w:rsidRDefault="00684A40" w:rsidP="00684A40">
      <w:r w:rsidRPr="00684A40">
        <w:t>A complete application consists of three copies of the following collated items:</w:t>
      </w:r>
    </w:p>
    <w:p w:rsidR="00684A40" w:rsidRPr="00684A40" w:rsidRDefault="00684A40" w:rsidP="00684A40"/>
    <w:p w:rsidR="00684A40" w:rsidRPr="00684A40" w:rsidRDefault="00684A40" w:rsidP="00684A40">
      <w:pPr>
        <w:numPr>
          <w:ilvl w:val="0"/>
          <w:numId w:val="4"/>
        </w:numPr>
      </w:pPr>
      <w:r w:rsidRPr="00684A40">
        <w:t>the completed application cover sheet,</w:t>
      </w:r>
    </w:p>
    <w:p w:rsidR="00684A40" w:rsidRPr="00684A40" w:rsidRDefault="00684A40" w:rsidP="00684A40">
      <w:pPr>
        <w:numPr>
          <w:ilvl w:val="0"/>
          <w:numId w:val="4"/>
        </w:numPr>
      </w:pPr>
      <w:r w:rsidRPr="00684A40">
        <w:t>a detailed résumé, curriculum vitae, or brief biography, and</w:t>
      </w:r>
    </w:p>
    <w:p w:rsidR="00684A40" w:rsidRPr="00684A40" w:rsidRDefault="00684A40" w:rsidP="00684A40">
      <w:pPr>
        <w:numPr>
          <w:ilvl w:val="0"/>
          <w:numId w:val="4"/>
        </w:numPr>
      </w:pPr>
      <w:proofErr w:type="gramStart"/>
      <w:r w:rsidRPr="00684A40">
        <w:t>an</w:t>
      </w:r>
      <w:proofErr w:type="gramEnd"/>
      <w:r w:rsidRPr="00684A40">
        <w:t xml:space="preserve"> application essay as outlined below.</w:t>
      </w:r>
    </w:p>
    <w:p w:rsidR="00684A40" w:rsidRPr="00684A40" w:rsidRDefault="00684A40" w:rsidP="00684A40"/>
    <w:p w:rsidR="00684A40" w:rsidRPr="00684A40" w:rsidRDefault="00684A40" w:rsidP="00684A40">
      <w:r w:rsidRPr="00684A40">
        <w:t>In addition, it must include two letters of recommendation as described below.</w:t>
      </w:r>
    </w:p>
    <w:p w:rsidR="00684A40" w:rsidRPr="00684A40" w:rsidRDefault="00684A40" w:rsidP="00684A40">
      <w:pPr>
        <w:rPr>
          <w:b/>
          <w:u w:val="single"/>
        </w:rPr>
      </w:pPr>
    </w:p>
    <w:p w:rsidR="00684A40" w:rsidRPr="00684A40" w:rsidRDefault="00684A40" w:rsidP="00684A40">
      <w:pPr>
        <w:rPr>
          <w:b/>
          <w:u w:val="single"/>
        </w:rPr>
      </w:pPr>
    </w:p>
    <w:p w:rsidR="00684A40" w:rsidRDefault="00684A40" w:rsidP="00684A40">
      <w:pPr>
        <w:rPr>
          <w:b/>
          <w:u w:val="single"/>
        </w:rPr>
      </w:pPr>
      <w:r w:rsidRPr="00684A40">
        <w:rPr>
          <w:b/>
          <w:u w:val="single"/>
        </w:rPr>
        <w:t>The application cover sheet</w:t>
      </w:r>
    </w:p>
    <w:p w:rsidR="00AE28EF" w:rsidRPr="00684A40" w:rsidRDefault="00AE28EF" w:rsidP="00684A40"/>
    <w:p w:rsidR="00684A40" w:rsidRPr="00684A40" w:rsidRDefault="00684A40" w:rsidP="00684A40">
      <w:r w:rsidRPr="00684A40">
        <w:t xml:space="preserve">The application </w:t>
      </w:r>
      <w:hyperlink r:id="rId9" w:history="1">
        <w:r w:rsidRPr="00684A40">
          <w:rPr>
            <w:rStyle w:val="Hyperlink"/>
          </w:rPr>
          <w:t>cover sheet</w:t>
        </w:r>
      </w:hyperlink>
      <w:r w:rsidRPr="00684A40">
        <w:t xml:space="preserve"> must be filled out online at this address: </w:t>
      </w:r>
    </w:p>
    <w:p w:rsidR="00684A40" w:rsidRPr="00684A40" w:rsidRDefault="00684A40" w:rsidP="00684A40"/>
    <w:p w:rsidR="00684A40" w:rsidRDefault="00763DCD" w:rsidP="00684A40">
      <w:hyperlink r:id="rId10" w:history="1">
        <w:r w:rsidR="00AE28EF" w:rsidRPr="001F3D5F">
          <w:rPr>
            <w:rStyle w:val="Hyperlink"/>
          </w:rPr>
          <w:t>https://securegrants.neh.gov/education/participants/</w:t>
        </w:r>
      </w:hyperlink>
    </w:p>
    <w:p w:rsidR="00AE28EF" w:rsidRPr="00684A40" w:rsidRDefault="00AE28EF" w:rsidP="00684A40"/>
    <w:p w:rsidR="00684A40" w:rsidRPr="00684A40" w:rsidRDefault="00684A40" w:rsidP="00684A40">
      <w:r w:rsidRPr="00684A40">
        <w:t xml:space="preserve">Please fill it out online as directed by the prompts. </w:t>
      </w:r>
      <w:r w:rsidRPr="00684A40">
        <w:rPr>
          <w:b/>
        </w:rPr>
        <w:t>When you are finished, be sure to click on the “submit” button.</w:t>
      </w:r>
      <w:r w:rsidRPr="00684A40">
        <w:t xml:space="preserve">  Print out the cover sheet and add it to your application package.  At this point you will be asked if you want to fill out a cover sheet for another project.  If you do, follow the prompts and select another project and then print out the cover sheet for that project.  Note that filling out a cover sheet is not the same as applying, so there is no penalty for changing your mind and filling out cover sheets for several projects.  A full application consists of the items listed above, as sent to a project director.       </w:t>
      </w:r>
    </w:p>
    <w:p w:rsidR="00AE28EF" w:rsidRDefault="00AE28EF" w:rsidP="00684A40"/>
    <w:p w:rsidR="00684A40" w:rsidRPr="00684A40" w:rsidRDefault="00684A40" w:rsidP="00684A40">
      <w:r w:rsidRPr="00684A40">
        <w:t xml:space="preserve">   </w:t>
      </w:r>
    </w:p>
    <w:p w:rsidR="00684A40" w:rsidRDefault="00684A40" w:rsidP="00684A40">
      <w:pPr>
        <w:rPr>
          <w:b/>
          <w:u w:val="single"/>
        </w:rPr>
      </w:pPr>
      <w:r w:rsidRPr="00684A40">
        <w:rPr>
          <w:b/>
          <w:u w:val="single"/>
        </w:rPr>
        <w:t>Résumé</w:t>
      </w:r>
    </w:p>
    <w:p w:rsidR="00AE28EF" w:rsidRPr="00684A40" w:rsidRDefault="00AE28EF" w:rsidP="00684A40">
      <w:pPr>
        <w:rPr>
          <w:b/>
          <w:u w:val="single"/>
        </w:rPr>
      </w:pPr>
    </w:p>
    <w:p w:rsidR="00684A40" w:rsidRPr="00684A40" w:rsidRDefault="00684A40" w:rsidP="00684A40">
      <w:r w:rsidRPr="00684A40">
        <w:t>Please include a detailed résumé, curriculum vitae, or brief biography (not to exceed five pages).</w:t>
      </w:r>
    </w:p>
    <w:p w:rsidR="00684A40" w:rsidRPr="00684A40" w:rsidRDefault="00684A40" w:rsidP="00684A40">
      <w:pPr>
        <w:rPr>
          <w:b/>
          <w:u w:val="single"/>
        </w:rPr>
      </w:pPr>
    </w:p>
    <w:p w:rsidR="00684A40" w:rsidRDefault="00684A40" w:rsidP="00684A40">
      <w:pPr>
        <w:rPr>
          <w:b/>
          <w:u w:val="single"/>
        </w:rPr>
      </w:pPr>
      <w:r w:rsidRPr="00684A40">
        <w:rPr>
          <w:b/>
          <w:u w:val="single"/>
        </w:rPr>
        <w:lastRenderedPageBreak/>
        <w:t>The Application Essay</w:t>
      </w:r>
    </w:p>
    <w:p w:rsidR="00AE28EF" w:rsidRPr="00684A40" w:rsidRDefault="00AE28EF" w:rsidP="00684A40"/>
    <w:p w:rsidR="00684A40" w:rsidRPr="00684A40" w:rsidRDefault="00684A40" w:rsidP="00684A40">
      <w:r w:rsidRPr="00684A40">
        <w:t xml:space="preserve">The application essay should be no more than four double spaced pages.  This essay should include any relevant personal and academic information.  It should address reasons for applying; the applicant's interest, both academic and personal, in the subject to be studied; qualifications and experiences that equip the applicant to do the work of the seminar or institute and to make a contribution to a learning community; a statement of what the applicant wants to accomplish by participating; and the relation of the project to the applicant's professional responsibilities.  </w:t>
      </w:r>
    </w:p>
    <w:p w:rsidR="00684A40" w:rsidRPr="00684A40" w:rsidRDefault="00684A40" w:rsidP="00684A40"/>
    <w:p w:rsidR="00684A40" w:rsidRPr="00684A40" w:rsidRDefault="00684A40" w:rsidP="00684A40">
      <w:pPr>
        <w:numPr>
          <w:ilvl w:val="0"/>
          <w:numId w:val="5"/>
        </w:numPr>
      </w:pPr>
      <w:r w:rsidRPr="00684A40">
        <w:t xml:space="preserve">Applicants to seminars should be sure to discuss any independent study project that is proposed beyond the common work of the seminar.  </w:t>
      </w:r>
    </w:p>
    <w:p w:rsidR="00684A40" w:rsidRPr="00684A40" w:rsidRDefault="00684A40" w:rsidP="00684A40">
      <w:pPr>
        <w:numPr>
          <w:ilvl w:val="0"/>
          <w:numId w:val="5"/>
        </w:numPr>
      </w:pPr>
      <w:r w:rsidRPr="00684A40">
        <w:t xml:space="preserve">Applicants to institutes may need to elaborate on the relationship between institute activities and their responsibilities for teaching and curricular development. </w:t>
      </w:r>
    </w:p>
    <w:p w:rsidR="00684A40" w:rsidRPr="00684A40" w:rsidRDefault="00684A40" w:rsidP="00684A40">
      <w:pPr>
        <w:rPr>
          <w:b/>
        </w:rPr>
      </w:pPr>
    </w:p>
    <w:p w:rsidR="00AE28EF" w:rsidRPr="00684A40" w:rsidRDefault="00AE28EF" w:rsidP="00684A40">
      <w:pPr>
        <w:rPr>
          <w:b/>
          <w:u w:val="single"/>
        </w:rPr>
      </w:pPr>
    </w:p>
    <w:p w:rsidR="00684A40" w:rsidRPr="00684A40" w:rsidRDefault="00684A40" w:rsidP="00684A40">
      <w:r w:rsidRPr="00684A40">
        <w:t>The two referees may be from inside or outside the applicant’s home institution.  They should be familiar with the applicant's professional accomplishments or promise, teaching and/or research interests, and ability to contribute to and benefit from participation in the seminar or institute.  Referees should be provided with the director's description of the seminar or institute and the applicant's essay</w:t>
      </w:r>
      <w:r w:rsidR="00AB7F32">
        <w:rPr>
          <w:b/>
        </w:rPr>
        <w:t>.</w:t>
      </w:r>
      <w:r w:rsidRPr="00684A40">
        <w:rPr>
          <w:b/>
        </w:rPr>
        <w:t xml:space="preserve">  </w:t>
      </w:r>
      <w:r w:rsidRPr="00684A40">
        <w:t xml:space="preserve">Applicants who are current graduate students should secure a letter from a professor or advisor.  Please ask each of your referees to sign across the seal on the back of the envelope containing the letter.  Enclose the letters with your application.  </w:t>
      </w:r>
    </w:p>
    <w:p w:rsidR="00684A40" w:rsidRPr="00684A40" w:rsidRDefault="00684A40" w:rsidP="00684A40">
      <w:pPr>
        <w:rPr>
          <w:b/>
        </w:rPr>
      </w:pPr>
    </w:p>
    <w:p w:rsidR="00684A40" w:rsidRPr="00684A40" w:rsidRDefault="00684A40" w:rsidP="00684A40">
      <w:pPr>
        <w:rPr>
          <w:b/>
        </w:rPr>
      </w:pPr>
    </w:p>
    <w:p w:rsidR="00684A40" w:rsidRPr="00684A40" w:rsidRDefault="00684A40" w:rsidP="00684A40">
      <w:pPr>
        <w:rPr>
          <w:b/>
        </w:rPr>
      </w:pPr>
      <w:r w:rsidRPr="00684A40">
        <w:rPr>
          <w:b/>
        </w:rPr>
        <w:t>SUBMISSION OF APPLICATIONS AND NOTIFICATION PROCEDURE</w:t>
      </w:r>
    </w:p>
    <w:p w:rsidR="00684A40" w:rsidRPr="00684A40" w:rsidRDefault="00684A40" w:rsidP="00684A40"/>
    <w:p w:rsidR="00684A40" w:rsidRPr="00684A40" w:rsidRDefault="00684A40" w:rsidP="00684A40">
      <w:r w:rsidRPr="00684A40">
        <w:t xml:space="preserve">Completed applications should be submitted </w:t>
      </w:r>
      <w:r w:rsidRPr="00684A40">
        <w:rPr>
          <w:b/>
        </w:rPr>
        <w:t>to the project director</w:t>
      </w:r>
      <w:r w:rsidRPr="00684A40">
        <w:t xml:space="preserve"> and should be </w:t>
      </w:r>
      <w:r w:rsidRPr="00684A40">
        <w:rPr>
          <w:b/>
        </w:rPr>
        <w:t>postmarked</w:t>
      </w:r>
      <w:r w:rsidRPr="00684A40">
        <w:t xml:space="preserve"> no later than </w:t>
      </w:r>
      <w:r w:rsidR="0057440B">
        <w:rPr>
          <w:b/>
        </w:rPr>
        <w:t>March 4</w:t>
      </w:r>
      <w:r w:rsidRPr="00684A40">
        <w:rPr>
          <w:b/>
        </w:rPr>
        <w:t>, 201</w:t>
      </w:r>
      <w:r w:rsidR="0057440B">
        <w:rPr>
          <w:b/>
        </w:rPr>
        <w:t>3</w:t>
      </w:r>
      <w:r w:rsidRPr="00684A40">
        <w:t>.</w:t>
      </w:r>
    </w:p>
    <w:p w:rsidR="00684A40" w:rsidRPr="00684A40" w:rsidRDefault="00684A40" w:rsidP="00684A40"/>
    <w:p w:rsidR="00684A40" w:rsidRPr="00684A40" w:rsidRDefault="00684A40" w:rsidP="00684A40">
      <w:r w:rsidRPr="00684A40">
        <w:t xml:space="preserve">Successful applicants will be notified of their selection on </w:t>
      </w:r>
      <w:r w:rsidR="0057440B">
        <w:t>Monday, April 1, 2013</w:t>
      </w:r>
      <w:r w:rsidRPr="00684A40">
        <w:t xml:space="preserve">, and they will have until </w:t>
      </w:r>
      <w:r w:rsidR="0057440B">
        <w:t>Friday, April 5</w:t>
      </w:r>
      <w:r w:rsidRPr="00684A40">
        <w:t xml:space="preserve"> to accept or decline the offer. </w:t>
      </w:r>
    </w:p>
    <w:p w:rsidR="00684A40" w:rsidRPr="00684A40" w:rsidRDefault="00684A40" w:rsidP="00684A40"/>
    <w:p w:rsidR="00684A40" w:rsidRPr="00684A40" w:rsidRDefault="00684A40" w:rsidP="00684A40">
      <w:pPr>
        <w:rPr>
          <w:b/>
        </w:rPr>
      </w:pPr>
      <w:r w:rsidRPr="00684A40">
        <w:rPr>
          <w:b/>
        </w:rPr>
        <w:t>Once you have accepted an offer to attend any NEH Summer Program (NEH Summer Seminar, Institute or Landmarks Workshop), you may not accept an additional offer or withdraw in order to accept a different offer.</w:t>
      </w:r>
    </w:p>
    <w:p w:rsidR="00684A40" w:rsidRPr="00684A40" w:rsidRDefault="00684A40" w:rsidP="00684A40">
      <w:pPr>
        <w:rPr>
          <w:b/>
        </w:rPr>
      </w:pPr>
    </w:p>
    <w:p w:rsidR="00684A40" w:rsidRPr="00684A40" w:rsidRDefault="00684A40" w:rsidP="00684A40">
      <w:r w:rsidRPr="00684A40">
        <w:rPr>
          <w:b/>
        </w:rPr>
        <w:t>EQUAL OPPORTUNITY STATEMENT</w:t>
      </w:r>
    </w:p>
    <w:p w:rsidR="00684A40" w:rsidRPr="00684A40" w:rsidRDefault="00684A40" w:rsidP="00684A40"/>
    <w:p w:rsidR="00684A40" w:rsidRPr="00684A40" w:rsidRDefault="00684A40" w:rsidP="00684A40">
      <w:r w:rsidRPr="00684A40">
        <w:t xml:space="preserve">Endowment programs do not discriminate on the basis of race, color, national origin, sex, disability, or age.  For further information, write to the Equal Opportunity Officer, National Endowment for the Humanities, </w:t>
      </w:r>
      <w:smartTag w:uri="urn:schemas-microsoft-com:office:smarttags" w:element="address">
        <w:smartTag w:uri="urn:schemas-microsoft-com:office:smarttags" w:element="Street">
          <w:r w:rsidRPr="00684A40">
            <w:t>1100 Pennsylvania Avenue, N.W.</w:t>
          </w:r>
        </w:smartTag>
        <w:r w:rsidRPr="00684A40">
          <w:t xml:space="preserve">, </w:t>
        </w:r>
        <w:smartTag w:uri="urn:schemas-microsoft-com:office:smarttags" w:element="City">
          <w:r w:rsidRPr="00684A40">
            <w:t>Washington</w:t>
          </w:r>
        </w:smartTag>
        <w:r w:rsidRPr="00684A40">
          <w:t xml:space="preserve">, </w:t>
        </w:r>
        <w:smartTag w:uri="urn:schemas-microsoft-com:office:smarttags" w:element="State">
          <w:r w:rsidRPr="00684A40">
            <w:t>D.C.</w:t>
          </w:r>
        </w:smartTag>
        <w:r w:rsidRPr="00684A40">
          <w:t xml:space="preserve"> </w:t>
        </w:r>
        <w:smartTag w:uri="urn:schemas-microsoft-com:office:smarttags" w:element="PostalCode">
          <w:r w:rsidRPr="00684A40">
            <w:t>20506</w:t>
          </w:r>
        </w:smartTag>
      </w:smartTag>
      <w:r w:rsidRPr="00684A40">
        <w:t>.  TDD:  202/606</w:t>
      </w:r>
      <w:r w:rsidRPr="00684A40">
        <w:noBreakHyphen/>
        <w:t>8282 (this is a special telephone device for the Deaf).</w:t>
      </w:r>
    </w:p>
    <w:p w:rsidR="00684A40" w:rsidRPr="00684A40" w:rsidRDefault="00684A40" w:rsidP="00684A40">
      <w:pPr>
        <w:rPr>
          <w:b/>
        </w:rPr>
      </w:pPr>
    </w:p>
    <w:p w:rsidR="00684A40" w:rsidRDefault="00684A40" w:rsidP="001E34CE"/>
    <w:p w:rsidR="00684A40" w:rsidRDefault="00684A40" w:rsidP="001E34CE"/>
    <w:p w:rsidR="00684A40" w:rsidRDefault="00684A40" w:rsidP="001E34CE"/>
    <w:p w:rsidR="00684A40" w:rsidRDefault="00684A40" w:rsidP="001E34CE"/>
    <w:p w:rsidR="00684A40" w:rsidRDefault="00684A40" w:rsidP="001E34CE"/>
    <w:p w:rsidR="001E34CE" w:rsidRPr="00D62941" w:rsidRDefault="001E34CE" w:rsidP="00D62941"/>
    <w:sectPr w:rsidR="001E34CE" w:rsidRPr="00D62941" w:rsidSect="001E34CE">
      <w:headerReference w:type="default" r:id="rId11"/>
      <w:footerReference w:type="default" r:id="rId12"/>
      <w:headerReference w:type="first" r:id="rId13"/>
      <w:footerReference w:type="first" r:id="rId14"/>
      <w:pgSz w:w="12240" w:h="15840" w:code="1"/>
      <w:pgMar w:top="1440" w:right="1440" w:bottom="1440" w:left="1800" w:header="720" w:footer="720" w:gutter="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A40" w:rsidRDefault="00684A40">
      <w:r>
        <w:separator/>
      </w:r>
    </w:p>
  </w:endnote>
  <w:endnote w:type="continuationSeparator" w:id="0">
    <w:p w:rsidR="00684A40" w:rsidRDefault="0068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3000000" w:usb1="00000000" w:usb2="00000000" w:usb3="00000000" w:csb0="00000001" w:csb1="00000000"/>
  </w:font>
  <w:font w:name="Avenir 55 Roman">
    <w:altName w:val="Times New Roman"/>
    <w:panose1 w:val="00000000000000000000"/>
    <w:charset w:val="4D"/>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aco">
    <w:charset w:val="00"/>
    <w:family w:val="auto"/>
    <w:pitch w:val="variable"/>
    <w:sig w:usb0="03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venir-Book">
    <w:altName w:val="Bk Avenir Book"/>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A40" w:rsidRPr="00DD686B" w:rsidRDefault="00684A40" w:rsidP="001E34CE">
    <w:pPr>
      <w:pStyle w:val="Default"/>
      <w:ind w:left="-1008" w:right="-864"/>
      <w:jc w:val="center"/>
      <w:rPr>
        <w:rFonts w:ascii="Trebuchet MS" w:hAnsi="Trebuchet MS"/>
        <w:color w:val="auto"/>
        <w:sz w:val="17"/>
        <w:szCs w:val="16"/>
      </w:rPr>
    </w:pPr>
    <w:r w:rsidRPr="005A2365">
      <w:rPr>
        <w:rFonts w:ascii="Trebuchet MS" w:hAnsi="Trebuchet MS" w:cs="Avenir-Book"/>
        <w:sz w:val="17"/>
        <w:szCs w:val="16"/>
      </w:rPr>
      <w:t xml:space="preserve">1100 Pennsylvania Ave., N.W., Rm. 302, Washington, D.C. 20506   </w:t>
    </w:r>
    <w:r w:rsidRPr="00DD686B">
      <w:rPr>
        <w:rFonts w:ascii="Trebuchet MS" w:hAnsi="Trebuchet MS" w:cs="Avenir-Book"/>
        <w:color w:val="auto"/>
        <w:sz w:val="17"/>
        <w:szCs w:val="16"/>
      </w:rPr>
      <w:t xml:space="preserve"> </w:t>
    </w:r>
    <w:r w:rsidRPr="00DD686B">
      <w:rPr>
        <w:rFonts w:ascii="Trebuchet MS" w:hAnsi="Trebuchet MS" w:cs="Avenir-Book"/>
        <w:b/>
        <w:color w:val="auto"/>
        <w:sz w:val="14"/>
        <w:szCs w:val="16"/>
      </w:rPr>
      <w:t>P</w:t>
    </w:r>
    <w:r w:rsidRPr="005A2365">
      <w:rPr>
        <w:rFonts w:ascii="Trebuchet MS" w:hAnsi="Trebuchet MS" w:cs="Avenir-Book"/>
        <w:sz w:val="17"/>
        <w:szCs w:val="16"/>
      </w:rPr>
      <w:t xml:space="preserve"> 202.606.8500   </w:t>
    </w:r>
    <w:r w:rsidRPr="00DD686B">
      <w:rPr>
        <w:rFonts w:ascii="Trebuchet MS" w:hAnsi="Trebuchet MS" w:cs="Avenir-Book"/>
        <w:color w:val="auto"/>
        <w:sz w:val="17"/>
        <w:szCs w:val="16"/>
      </w:rPr>
      <w:t xml:space="preserve"> </w:t>
    </w:r>
    <w:r w:rsidRPr="00DD686B">
      <w:rPr>
        <w:rFonts w:ascii="Trebuchet MS" w:hAnsi="Trebuchet MS" w:cs="Avenir-Book"/>
        <w:b/>
        <w:color w:val="auto"/>
        <w:sz w:val="14"/>
        <w:szCs w:val="16"/>
      </w:rPr>
      <w:t>F</w:t>
    </w:r>
    <w:r w:rsidRPr="005A2365">
      <w:rPr>
        <w:rFonts w:ascii="Trebuchet MS" w:hAnsi="Trebuchet MS" w:cs="Avenir-Book"/>
        <w:sz w:val="17"/>
        <w:szCs w:val="16"/>
      </w:rPr>
      <w:t xml:space="preserve"> 202.606.8394   </w:t>
    </w:r>
    <w:r w:rsidRPr="00DD686B">
      <w:rPr>
        <w:rFonts w:ascii="Trebuchet MS" w:hAnsi="Trebuchet MS" w:cs="Avenir-Book"/>
        <w:b/>
        <w:color w:val="auto"/>
        <w:sz w:val="14"/>
        <w:szCs w:val="16"/>
      </w:rPr>
      <w:t>E</w:t>
    </w:r>
    <w:r w:rsidRPr="00E938FE">
      <w:rPr>
        <w:rFonts w:ascii="Trebuchet MS" w:hAnsi="Trebuchet MS" w:cs="Avenir-Book"/>
        <w:sz w:val="14"/>
        <w:szCs w:val="16"/>
      </w:rPr>
      <w:t xml:space="preserve"> </w:t>
    </w:r>
    <w:r w:rsidRPr="005A2365">
      <w:rPr>
        <w:rFonts w:ascii="Trebuchet MS" w:hAnsi="Trebuchet MS" w:cs="Avenir-Book"/>
        <w:sz w:val="17"/>
        <w:szCs w:val="16"/>
      </w:rPr>
      <w:t xml:space="preserve">education@neh.gov    </w:t>
    </w:r>
    <w:r w:rsidRPr="00DD686B">
      <w:rPr>
        <w:rFonts w:ascii="Trebuchet MS" w:hAnsi="Trebuchet MS" w:cs="Avenir-Book"/>
        <w:b/>
        <w:color w:val="auto"/>
        <w:sz w:val="17"/>
        <w:szCs w:val="16"/>
      </w:rPr>
      <w:t>www.neh.gov</w:t>
    </w:r>
  </w:p>
  <w:p w:rsidR="00684A40" w:rsidRDefault="00684A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A40" w:rsidRPr="00DD686B" w:rsidRDefault="00684A40" w:rsidP="001E34CE">
    <w:pPr>
      <w:pStyle w:val="Default"/>
      <w:ind w:left="-1008" w:right="-864"/>
      <w:jc w:val="center"/>
      <w:rPr>
        <w:rFonts w:ascii="Trebuchet MS" w:hAnsi="Trebuchet MS"/>
        <w:color w:val="auto"/>
        <w:sz w:val="17"/>
        <w:szCs w:val="16"/>
      </w:rPr>
    </w:pPr>
    <w:r w:rsidRPr="005A2365">
      <w:rPr>
        <w:rFonts w:ascii="Trebuchet MS" w:hAnsi="Trebuchet MS" w:cs="Avenir-Book"/>
        <w:sz w:val="17"/>
        <w:szCs w:val="16"/>
      </w:rPr>
      <w:t xml:space="preserve">1100 Pennsylvania Ave., N.W., Rm. 302, Washington, D.C. 20506   </w:t>
    </w:r>
    <w:r w:rsidRPr="00DD686B">
      <w:rPr>
        <w:rFonts w:ascii="Trebuchet MS" w:hAnsi="Trebuchet MS" w:cs="Avenir-Book"/>
        <w:color w:val="auto"/>
        <w:sz w:val="17"/>
        <w:szCs w:val="16"/>
      </w:rPr>
      <w:t xml:space="preserve"> </w:t>
    </w:r>
    <w:r w:rsidRPr="00DD686B">
      <w:rPr>
        <w:rFonts w:ascii="Trebuchet MS" w:hAnsi="Trebuchet MS" w:cs="Avenir-Book"/>
        <w:b/>
        <w:color w:val="auto"/>
        <w:sz w:val="14"/>
        <w:szCs w:val="16"/>
      </w:rPr>
      <w:t>P</w:t>
    </w:r>
    <w:r w:rsidRPr="005A2365">
      <w:rPr>
        <w:rFonts w:ascii="Trebuchet MS" w:hAnsi="Trebuchet MS" w:cs="Avenir-Book"/>
        <w:sz w:val="17"/>
        <w:szCs w:val="16"/>
      </w:rPr>
      <w:t xml:space="preserve"> 202.606.8500   </w:t>
    </w:r>
    <w:r w:rsidRPr="00DD686B">
      <w:rPr>
        <w:rFonts w:ascii="Trebuchet MS" w:hAnsi="Trebuchet MS" w:cs="Avenir-Book"/>
        <w:color w:val="auto"/>
        <w:sz w:val="17"/>
        <w:szCs w:val="16"/>
      </w:rPr>
      <w:t xml:space="preserve"> </w:t>
    </w:r>
    <w:r w:rsidRPr="00DD686B">
      <w:rPr>
        <w:rFonts w:ascii="Trebuchet MS" w:hAnsi="Trebuchet MS" w:cs="Avenir-Book"/>
        <w:b/>
        <w:color w:val="auto"/>
        <w:sz w:val="14"/>
        <w:szCs w:val="16"/>
      </w:rPr>
      <w:t>F</w:t>
    </w:r>
    <w:r w:rsidRPr="005A2365">
      <w:rPr>
        <w:rFonts w:ascii="Trebuchet MS" w:hAnsi="Trebuchet MS" w:cs="Avenir-Book"/>
        <w:sz w:val="17"/>
        <w:szCs w:val="16"/>
      </w:rPr>
      <w:t xml:space="preserve"> 202.606.8394   </w:t>
    </w:r>
    <w:r w:rsidRPr="00DD686B">
      <w:rPr>
        <w:rFonts w:ascii="Trebuchet MS" w:hAnsi="Trebuchet MS" w:cs="Avenir-Book"/>
        <w:b/>
        <w:color w:val="auto"/>
        <w:sz w:val="14"/>
        <w:szCs w:val="16"/>
      </w:rPr>
      <w:t>E</w:t>
    </w:r>
    <w:r w:rsidRPr="00E938FE">
      <w:rPr>
        <w:rFonts w:ascii="Trebuchet MS" w:hAnsi="Trebuchet MS" w:cs="Avenir-Book"/>
        <w:sz w:val="14"/>
        <w:szCs w:val="16"/>
      </w:rPr>
      <w:t xml:space="preserve"> </w:t>
    </w:r>
    <w:r w:rsidRPr="005A2365">
      <w:rPr>
        <w:rFonts w:ascii="Trebuchet MS" w:hAnsi="Trebuchet MS" w:cs="Avenir-Book"/>
        <w:sz w:val="17"/>
        <w:szCs w:val="16"/>
      </w:rPr>
      <w:t xml:space="preserve">education@neh.gov    </w:t>
    </w:r>
    <w:r w:rsidRPr="00DD686B">
      <w:rPr>
        <w:rFonts w:ascii="Trebuchet MS" w:hAnsi="Trebuchet MS" w:cs="Avenir-Book"/>
        <w:b/>
        <w:color w:val="auto"/>
        <w:sz w:val="17"/>
        <w:szCs w:val="16"/>
      </w:rPr>
      <w:t>www.neh.gov</w:t>
    </w:r>
  </w:p>
  <w:p w:rsidR="00684A40" w:rsidRDefault="00684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A40" w:rsidRDefault="00684A40">
      <w:r>
        <w:separator/>
      </w:r>
    </w:p>
  </w:footnote>
  <w:footnote w:type="continuationSeparator" w:id="0">
    <w:p w:rsidR="00684A40" w:rsidRDefault="00684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A40" w:rsidRDefault="00684A40" w:rsidP="001E34CE">
    <w:pPr>
      <w:pStyle w:val="Header"/>
      <w:ind w:right="-18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A40" w:rsidRDefault="00684A40" w:rsidP="001E34CE">
    <w:pPr>
      <w:pStyle w:val="Header"/>
      <w:spacing w:before="2060"/>
    </w:pPr>
    <w:r>
      <w:rPr>
        <w:noProof/>
        <w:szCs w:val="20"/>
      </w:rPr>
      <w:drawing>
        <wp:anchor distT="0" distB="0" distL="114300" distR="114300" simplePos="0" relativeHeight="251657728" behindDoc="1" locked="0" layoutInCell="1" allowOverlap="1" wp14:anchorId="7747372A" wp14:editId="021C4F4E">
          <wp:simplePos x="0" y="0"/>
          <wp:positionH relativeFrom="column">
            <wp:posOffset>-1282065</wp:posOffset>
          </wp:positionH>
          <wp:positionV relativeFrom="paragraph">
            <wp:posOffset>-457200</wp:posOffset>
          </wp:positionV>
          <wp:extent cx="3783330" cy="1497330"/>
          <wp:effectExtent l="0" t="0" r="7620" b="7620"/>
          <wp:wrapNone/>
          <wp:docPr id="5" name="Picture 5" descr="NEH_bwEd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H_bwEdProgr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3330" cy="1497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E53"/>
    <w:multiLevelType w:val="hybridMultilevel"/>
    <w:tmpl w:val="E3085E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7CF5AF9"/>
    <w:multiLevelType w:val="hybridMultilevel"/>
    <w:tmpl w:val="85B845E6"/>
    <w:lvl w:ilvl="0" w:tplc="EDA6AA9C">
      <w:start w:val="1"/>
      <w:numFmt w:val="decimal"/>
      <w:lvlText w:val="%1)"/>
      <w:lvlJc w:val="left"/>
      <w:pPr>
        <w:tabs>
          <w:tab w:val="num" w:pos="720"/>
        </w:tabs>
        <w:ind w:left="720" w:hanging="360"/>
      </w:pPr>
      <w:rPr>
        <w:rFonts w:ascii="Times New Roman" w:eastAsia="Times New Roman" w:hAnsi="Times New Roman" w:cs="Times New Roman"/>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7D3791E"/>
    <w:multiLevelType w:val="hybridMultilevel"/>
    <w:tmpl w:val="93A463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F612690"/>
    <w:multiLevelType w:val="hybridMultilevel"/>
    <w:tmpl w:val="327C39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62628D8"/>
    <w:multiLevelType w:val="hybridMultilevel"/>
    <w:tmpl w:val="837A54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941"/>
    <w:rsid w:val="001077CB"/>
    <w:rsid w:val="001E34CE"/>
    <w:rsid w:val="003A4E26"/>
    <w:rsid w:val="004A7375"/>
    <w:rsid w:val="00507557"/>
    <w:rsid w:val="0057440B"/>
    <w:rsid w:val="00662730"/>
    <w:rsid w:val="00684A40"/>
    <w:rsid w:val="007575A6"/>
    <w:rsid w:val="00763DCD"/>
    <w:rsid w:val="008C5980"/>
    <w:rsid w:val="00977230"/>
    <w:rsid w:val="00AB7F32"/>
    <w:rsid w:val="00AE28EF"/>
    <w:rsid w:val="00C761FB"/>
    <w:rsid w:val="00C77BF7"/>
    <w:rsid w:val="00D62941"/>
    <w:rsid w:val="00E150AF"/>
    <w:rsid w:val="00EE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761"/>
    <w:rPr>
      <w:rFonts w:ascii="Georgia" w:eastAsia="Calibri" w:hAnsi="Georgia"/>
      <w:sz w:val="21"/>
      <w:szCs w:val="21"/>
    </w:rPr>
  </w:style>
  <w:style w:type="paragraph" w:styleId="Heading1">
    <w:name w:val="heading 1"/>
    <w:basedOn w:val="Normal"/>
    <w:next w:val="Normal"/>
    <w:qFormat/>
    <w:rsid w:val="00B42FBA"/>
    <w:pPr>
      <w:keepNext/>
      <w:outlineLvl w:val="0"/>
    </w:pPr>
    <w:rPr>
      <w:rFonts w:ascii="Courier" w:hAnsi="Courier"/>
      <w:szCs w:val="20"/>
    </w:rPr>
  </w:style>
  <w:style w:type="paragraph" w:styleId="Heading2">
    <w:name w:val="heading 2"/>
    <w:basedOn w:val="Normal"/>
    <w:next w:val="Normal"/>
    <w:qFormat/>
    <w:rsid w:val="00542B9E"/>
    <w:pPr>
      <w:keepNext/>
      <w:spacing w:before="240" w:after="60"/>
      <w:outlineLvl w:val="1"/>
    </w:pPr>
    <w:rPr>
      <w:rFonts w:ascii="Arial" w:hAnsi="Arial"/>
      <w:b/>
      <w:i/>
      <w:sz w:val="28"/>
      <w:szCs w:val="28"/>
    </w:rPr>
  </w:style>
  <w:style w:type="paragraph" w:styleId="Heading3">
    <w:name w:val="heading 3"/>
    <w:basedOn w:val="Normal"/>
    <w:next w:val="Normal"/>
    <w:qFormat/>
    <w:rsid w:val="00542B9E"/>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A10A0E"/>
    <w:rPr>
      <w:rFonts w:ascii="Lucida Grande" w:hAnsi="Lucida Grande"/>
      <w:sz w:val="24"/>
      <w:szCs w:val="24"/>
    </w:rPr>
  </w:style>
  <w:style w:type="character" w:customStyle="1" w:styleId="DocumentMapChar">
    <w:name w:val="Document Map Char"/>
    <w:link w:val="DocumentMap"/>
    <w:uiPriority w:val="99"/>
    <w:semiHidden/>
    <w:rsid w:val="00A10A0E"/>
    <w:rPr>
      <w:rFonts w:ascii="Lucida Grande" w:eastAsia="Calibri" w:hAnsi="Lucida Grande"/>
      <w:sz w:val="24"/>
      <w:szCs w:val="24"/>
    </w:rPr>
  </w:style>
  <w:style w:type="paragraph" w:customStyle="1" w:styleId="Default">
    <w:name w:val="Default"/>
    <w:rsid w:val="00265E97"/>
    <w:pPr>
      <w:widowControl w:val="0"/>
      <w:autoSpaceDE w:val="0"/>
      <w:autoSpaceDN w:val="0"/>
      <w:adjustRightInd w:val="0"/>
    </w:pPr>
    <w:rPr>
      <w:rFonts w:ascii="Avenir 55 Roman" w:hAnsi="Avenir 55 Roman" w:cs="Avenir 55 Roman"/>
      <w:color w:val="000000"/>
      <w:sz w:val="24"/>
      <w:szCs w:val="24"/>
      <w:lang w:bidi="en-US"/>
    </w:rPr>
  </w:style>
  <w:style w:type="paragraph" w:styleId="Header">
    <w:name w:val="header"/>
    <w:basedOn w:val="Normal"/>
    <w:link w:val="HeaderChar"/>
    <w:uiPriority w:val="99"/>
    <w:rsid w:val="00A4449F"/>
    <w:pPr>
      <w:tabs>
        <w:tab w:val="center" w:pos="4320"/>
        <w:tab w:val="right" w:pos="8640"/>
      </w:tabs>
    </w:pPr>
  </w:style>
  <w:style w:type="paragraph" w:styleId="Footer">
    <w:name w:val="footer"/>
    <w:basedOn w:val="Normal"/>
    <w:link w:val="FooterChar"/>
    <w:uiPriority w:val="99"/>
    <w:rsid w:val="00A4449F"/>
    <w:pPr>
      <w:tabs>
        <w:tab w:val="center" w:pos="4320"/>
        <w:tab w:val="right" w:pos="8640"/>
      </w:tabs>
    </w:pPr>
    <w:rPr>
      <w:rFonts w:ascii="Times New Roman" w:eastAsia="Times New Roman" w:hAnsi="Times New Roman"/>
      <w:sz w:val="24"/>
      <w:szCs w:val="24"/>
      <w:lang w:val="x-none" w:eastAsia="x-none"/>
    </w:rPr>
  </w:style>
  <w:style w:type="paragraph" w:styleId="BodyText">
    <w:name w:val="Body Text"/>
    <w:basedOn w:val="Normal"/>
    <w:rsid w:val="00B42FBA"/>
    <w:rPr>
      <w:szCs w:val="20"/>
    </w:rPr>
  </w:style>
  <w:style w:type="character" w:customStyle="1" w:styleId="FooterChar">
    <w:name w:val="Footer Char"/>
    <w:link w:val="Footer"/>
    <w:uiPriority w:val="99"/>
    <w:rsid w:val="0045428D"/>
    <w:rPr>
      <w:sz w:val="24"/>
      <w:szCs w:val="24"/>
    </w:rPr>
  </w:style>
  <w:style w:type="paragraph" w:styleId="BalloonText">
    <w:name w:val="Balloon Text"/>
    <w:basedOn w:val="Normal"/>
    <w:link w:val="BalloonTextChar"/>
    <w:uiPriority w:val="99"/>
    <w:semiHidden/>
    <w:unhideWhenUsed/>
    <w:rsid w:val="0045428D"/>
    <w:rPr>
      <w:rFonts w:ascii="Tahoma" w:eastAsia="Times New Roman" w:hAnsi="Tahoma"/>
      <w:sz w:val="16"/>
      <w:szCs w:val="16"/>
      <w:lang w:val="x-none" w:eastAsia="x-none"/>
    </w:rPr>
  </w:style>
  <w:style w:type="character" w:customStyle="1" w:styleId="BalloonTextChar">
    <w:name w:val="Balloon Text Char"/>
    <w:link w:val="BalloonText"/>
    <w:uiPriority w:val="99"/>
    <w:semiHidden/>
    <w:rsid w:val="0045428D"/>
    <w:rPr>
      <w:rFonts w:ascii="Tahoma" w:hAnsi="Tahoma" w:cs="Tahoma"/>
      <w:sz w:val="16"/>
      <w:szCs w:val="16"/>
    </w:rPr>
  </w:style>
  <w:style w:type="paragraph" w:customStyle="1" w:styleId="address">
    <w:name w:val="address"/>
    <w:basedOn w:val="Normal"/>
    <w:rsid w:val="00542B9E"/>
    <w:pPr>
      <w:widowControl w:val="0"/>
      <w:tabs>
        <w:tab w:val="left" w:pos="4140"/>
      </w:tabs>
      <w:autoSpaceDE w:val="0"/>
      <w:autoSpaceDN w:val="0"/>
      <w:adjustRightInd w:val="0"/>
      <w:ind w:left="1350" w:right="144"/>
    </w:pPr>
    <w:rPr>
      <w:rFonts w:cs="Monaco"/>
      <w:color w:val="000000"/>
      <w:szCs w:val="22"/>
      <w:lang w:bidi="en-US"/>
    </w:rPr>
  </w:style>
  <w:style w:type="character" w:styleId="Hyperlink">
    <w:name w:val="Hyperlink"/>
    <w:basedOn w:val="DefaultParagraphFont"/>
    <w:uiPriority w:val="99"/>
    <w:unhideWhenUsed/>
    <w:rsid w:val="00D62941"/>
    <w:rPr>
      <w:color w:val="0000FF" w:themeColor="hyperlink"/>
      <w:u w:val="single"/>
    </w:rPr>
  </w:style>
  <w:style w:type="character" w:customStyle="1" w:styleId="HeaderChar">
    <w:name w:val="Header Char"/>
    <w:basedOn w:val="DefaultParagraphFont"/>
    <w:link w:val="Header"/>
    <w:uiPriority w:val="99"/>
    <w:rsid w:val="00507557"/>
    <w:rPr>
      <w:rFonts w:ascii="Georgia" w:eastAsia="Calibri" w:hAnsi="Georgia"/>
      <w:sz w:val="21"/>
      <w:szCs w:val="21"/>
    </w:rPr>
  </w:style>
  <w:style w:type="character" w:styleId="FollowedHyperlink">
    <w:name w:val="FollowedHyperlink"/>
    <w:basedOn w:val="DefaultParagraphFont"/>
    <w:uiPriority w:val="99"/>
    <w:semiHidden/>
    <w:unhideWhenUsed/>
    <w:rsid w:val="00E150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761"/>
    <w:rPr>
      <w:rFonts w:ascii="Georgia" w:eastAsia="Calibri" w:hAnsi="Georgia"/>
      <w:sz w:val="21"/>
      <w:szCs w:val="21"/>
    </w:rPr>
  </w:style>
  <w:style w:type="paragraph" w:styleId="Heading1">
    <w:name w:val="heading 1"/>
    <w:basedOn w:val="Normal"/>
    <w:next w:val="Normal"/>
    <w:qFormat/>
    <w:rsid w:val="00B42FBA"/>
    <w:pPr>
      <w:keepNext/>
      <w:outlineLvl w:val="0"/>
    </w:pPr>
    <w:rPr>
      <w:rFonts w:ascii="Courier" w:hAnsi="Courier"/>
      <w:szCs w:val="20"/>
    </w:rPr>
  </w:style>
  <w:style w:type="paragraph" w:styleId="Heading2">
    <w:name w:val="heading 2"/>
    <w:basedOn w:val="Normal"/>
    <w:next w:val="Normal"/>
    <w:qFormat/>
    <w:rsid w:val="00542B9E"/>
    <w:pPr>
      <w:keepNext/>
      <w:spacing w:before="240" w:after="60"/>
      <w:outlineLvl w:val="1"/>
    </w:pPr>
    <w:rPr>
      <w:rFonts w:ascii="Arial" w:hAnsi="Arial"/>
      <w:b/>
      <w:i/>
      <w:sz w:val="28"/>
      <w:szCs w:val="28"/>
    </w:rPr>
  </w:style>
  <w:style w:type="paragraph" w:styleId="Heading3">
    <w:name w:val="heading 3"/>
    <w:basedOn w:val="Normal"/>
    <w:next w:val="Normal"/>
    <w:qFormat/>
    <w:rsid w:val="00542B9E"/>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A10A0E"/>
    <w:rPr>
      <w:rFonts w:ascii="Lucida Grande" w:hAnsi="Lucida Grande"/>
      <w:sz w:val="24"/>
      <w:szCs w:val="24"/>
    </w:rPr>
  </w:style>
  <w:style w:type="character" w:customStyle="1" w:styleId="DocumentMapChar">
    <w:name w:val="Document Map Char"/>
    <w:link w:val="DocumentMap"/>
    <w:uiPriority w:val="99"/>
    <w:semiHidden/>
    <w:rsid w:val="00A10A0E"/>
    <w:rPr>
      <w:rFonts w:ascii="Lucida Grande" w:eastAsia="Calibri" w:hAnsi="Lucida Grande"/>
      <w:sz w:val="24"/>
      <w:szCs w:val="24"/>
    </w:rPr>
  </w:style>
  <w:style w:type="paragraph" w:customStyle="1" w:styleId="Default">
    <w:name w:val="Default"/>
    <w:rsid w:val="00265E97"/>
    <w:pPr>
      <w:widowControl w:val="0"/>
      <w:autoSpaceDE w:val="0"/>
      <w:autoSpaceDN w:val="0"/>
      <w:adjustRightInd w:val="0"/>
    </w:pPr>
    <w:rPr>
      <w:rFonts w:ascii="Avenir 55 Roman" w:hAnsi="Avenir 55 Roman" w:cs="Avenir 55 Roman"/>
      <w:color w:val="000000"/>
      <w:sz w:val="24"/>
      <w:szCs w:val="24"/>
      <w:lang w:bidi="en-US"/>
    </w:rPr>
  </w:style>
  <w:style w:type="paragraph" w:styleId="Header">
    <w:name w:val="header"/>
    <w:basedOn w:val="Normal"/>
    <w:link w:val="HeaderChar"/>
    <w:uiPriority w:val="99"/>
    <w:rsid w:val="00A4449F"/>
    <w:pPr>
      <w:tabs>
        <w:tab w:val="center" w:pos="4320"/>
        <w:tab w:val="right" w:pos="8640"/>
      </w:tabs>
    </w:pPr>
  </w:style>
  <w:style w:type="paragraph" w:styleId="Footer">
    <w:name w:val="footer"/>
    <w:basedOn w:val="Normal"/>
    <w:link w:val="FooterChar"/>
    <w:uiPriority w:val="99"/>
    <w:rsid w:val="00A4449F"/>
    <w:pPr>
      <w:tabs>
        <w:tab w:val="center" w:pos="4320"/>
        <w:tab w:val="right" w:pos="8640"/>
      </w:tabs>
    </w:pPr>
    <w:rPr>
      <w:rFonts w:ascii="Times New Roman" w:eastAsia="Times New Roman" w:hAnsi="Times New Roman"/>
      <w:sz w:val="24"/>
      <w:szCs w:val="24"/>
      <w:lang w:val="x-none" w:eastAsia="x-none"/>
    </w:rPr>
  </w:style>
  <w:style w:type="paragraph" w:styleId="BodyText">
    <w:name w:val="Body Text"/>
    <w:basedOn w:val="Normal"/>
    <w:rsid w:val="00B42FBA"/>
    <w:rPr>
      <w:szCs w:val="20"/>
    </w:rPr>
  </w:style>
  <w:style w:type="character" w:customStyle="1" w:styleId="FooterChar">
    <w:name w:val="Footer Char"/>
    <w:link w:val="Footer"/>
    <w:uiPriority w:val="99"/>
    <w:rsid w:val="0045428D"/>
    <w:rPr>
      <w:sz w:val="24"/>
      <w:szCs w:val="24"/>
    </w:rPr>
  </w:style>
  <w:style w:type="paragraph" w:styleId="BalloonText">
    <w:name w:val="Balloon Text"/>
    <w:basedOn w:val="Normal"/>
    <w:link w:val="BalloonTextChar"/>
    <w:uiPriority w:val="99"/>
    <w:semiHidden/>
    <w:unhideWhenUsed/>
    <w:rsid w:val="0045428D"/>
    <w:rPr>
      <w:rFonts w:ascii="Tahoma" w:eastAsia="Times New Roman" w:hAnsi="Tahoma"/>
      <w:sz w:val="16"/>
      <w:szCs w:val="16"/>
      <w:lang w:val="x-none" w:eastAsia="x-none"/>
    </w:rPr>
  </w:style>
  <w:style w:type="character" w:customStyle="1" w:styleId="BalloonTextChar">
    <w:name w:val="Balloon Text Char"/>
    <w:link w:val="BalloonText"/>
    <w:uiPriority w:val="99"/>
    <w:semiHidden/>
    <w:rsid w:val="0045428D"/>
    <w:rPr>
      <w:rFonts w:ascii="Tahoma" w:hAnsi="Tahoma" w:cs="Tahoma"/>
      <w:sz w:val="16"/>
      <w:szCs w:val="16"/>
    </w:rPr>
  </w:style>
  <w:style w:type="paragraph" w:customStyle="1" w:styleId="address">
    <w:name w:val="address"/>
    <w:basedOn w:val="Normal"/>
    <w:rsid w:val="00542B9E"/>
    <w:pPr>
      <w:widowControl w:val="0"/>
      <w:tabs>
        <w:tab w:val="left" w:pos="4140"/>
      </w:tabs>
      <w:autoSpaceDE w:val="0"/>
      <w:autoSpaceDN w:val="0"/>
      <w:adjustRightInd w:val="0"/>
      <w:ind w:left="1350" w:right="144"/>
    </w:pPr>
    <w:rPr>
      <w:rFonts w:cs="Monaco"/>
      <w:color w:val="000000"/>
      <w:szCs w:val="22"/>
      <w:lang w:bidi="en-US"/>
    </w:rPr>
  </w:style>
  <w:style w:type="character" w:styleId="Hyperlink">
    <w:name w:val="Hyperlink"/>
    <w:basedOn w:val="DefaultParagraphFont"/>
    <w:uiPriority w:val="99"/>
    <w:unhideWhenUsed/>
    <w:rsid w:val="00D62941"/>
    <w:rPr>
      <w:color w:val="0000FF" w:themeColor="hyperlink"/>
      <w:u w:val="single"/>
    </w:rPr>
  </w:style>
  <w:style w:type="character" w:customStyle="1" w:styleId="HeaderChar">
    <w:name w:val="Header Char"/>
    <w:basedOn w:val="DefaultParagraphFont"/>
    <w:link w:val="Header"/>
    <w:uiPriority w:val="99"/>
    <w:rsid w:val="00507557"/>
    <w:rPr>
      <w:rFonts w:ascii="Georgia" w:eastAsia="Calibri" w:hAnsi="Georgia"/>
      <w:sz w:val="21"/>
      <w:szCs w:val="21"/>
    </w:rPr>
  </w:style>
  <w:style w:type="character" w:styleId="FollowedHyperlink">
    <w:name w:val="FollowedHyperlink"/>
    <w:basedOn w:val="DefaultParagraphFont"/>
    <w:uiPriority w:val="99"/>
    <w:semiHidden/>
    <w:unhideWhenUsed/>
    <w:rsid w:val="00E150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8213">
      <w:bodyDiv w:val="1"/>
      <w:marLeft w:val="0"/>
      <w:marRight w:val="0"/>
      <w:marTop w:val="0"/>
      <w:marBottom w:val="0"/>
      <w:divBdr>
        <w:top w:val="none" w:sz="0" w:space="0" w:color="auto"/>
        <w:left w:val="none" w:sz="0" w:space="0" w:color="auto"/>
        <w:bottom w:val="none" w:sz="0" w:space="0" w:color="auto"/>
        <w:right w:val="none" w:sz="0" w:space="0" w:color="auto"/>
      </w:divBdr>
    </w:div>
    <w:div w:id="688914789">
      <w:bodyDiv w:val="1"/>
      <w:marLeft w:val="0"/>
      <w:marRight w:val="0"/>
      <w:marTop w:val="0"/>
      <w:marBottom w:val="0"/>
      <w:divBdr>
        <w:top w:val="none" w:sz="0" w:space="0" w:color="auto"/>
        <w:left w:val="none" w:sz="0" w:space="0" w:color="auto"/>
        <w:bottom w:val="none" w:sz="0" w:space="0" w:color="auto"/>
        <w:right w:val="none" w:sz="0" w:space="0" w:color="auto"/>
      </w:divBdr>
    </w:div>
    <w:div w:id="1557742313">
      <w:bodyDiv w:val="1"/>
      <w:marLeft w:val="0"/>
      <w:marRight w:val="0"/>
      <w:marTop w:val="0"/>
      <w:marBottom w:val="0"/>
      <w:divBdr>
        <w:top w:val="none" w:sz="0" w:space="0" w:color="auto"/>
        <w:left w:val="none" w:sz="0" w:space="0" w:color="auto"/>
        <w:bottom w:val="none" w:sz="0" w:space="0" w:color="auto"/>
        <w:right w:val="none" w:sz="0" w:space="0" w:color="auto"/>
      </w:divBdr>
    </w:div>
    <w:div w:id="156775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uregrants.neh.gov/education/participants/"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curegrants.neh.gov/education/participants/" TargetMode="External"/><Relationship Id="rId4" Type="http://schemas.openxmlformats.org/officeDocument/2006/relationships/settings" Target="settings.xml"/><Relationship Id="rId9" Type="http://schemas.openxmlformats.org/officeDocument/2006/relationships/hyperlink" Target="https://securegrants.neh.gov/education/participant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ehpdc\Library\UserLib\MSOfficeXP\Templates\BW%20Letterhead\Edu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Education.dot</Template>
  <TotalTime>15</TotalTime>
  <Pages>4</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NEH_Letterhead_B&amp;W_Word.indd</vt:lpstr>
    </vt:vector>
  </TitlesOfParts>
  <Company>NEH</Company>
  <LinksUpToDate>false</LinksUpToDate>
  <CharactersWithSpaces>11697</CharactersWithSpaces>
  <SharedDoc>false</SharedDoc>
  <HLinks>
    <vt:vector size="6" baseType="variant">
      <vt:variant>
        <vt:i4>65582</vt:i4>
      </vt:variant>
      <vt:variant>
        <vt:i4>-1</vt:i4>
      </vt:variant>
      <vt:variant>
        <vt:i4>2053</vt:i4>
      </vt:variant>
      <vt:variant>
        <vt:i4>1</vt:i4>
      </vt:variant>
      <vt:variant>
        <vt:lpwstr>NEH_bwEdPrograms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NEH_Letterhead_B&amp;W_Word.indd</dc:title>
  <dc:creator>Corinne Carpenter</dc:creator>
  <cp:lastModifiedBy>Pettit, Richard</cp:lastModifiedBy>
  <cp:revision>5</cp:revision>
  <cp:lastPrinted>2011-02-03T14:42:00Z</cp:lastPrinted>
  <dcterms:created xsi:type="dcterms:W3CDTF">2012-08-20T18:36:00Z</dcterms:created>
  <dcterms:modified xsi:type="dcterms:W3CDTF">2012-08-28T19:29:00Z</dcterms:modified>
</cp:coreProperties>
</file>